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First Aid Policy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The FS Leader will hold an up to date Outdoors First Aid certificate and will be in charge of first aid arrangements.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At least one other staff member present will have a First Aid qualification for in the event that the Forest School leader is in need of First aid.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The First Aid kit is to be</w:t>
      </w:r>
      <w:r w:rsidDel="00000000" w:rsidR="00000000" w:rsidRPr="00000000">
        <w:rPr>
          <w:b w:val="1"/>
          <w:color w:val="11111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stored in a safe container in the woods and taken to all sessions.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In case of an accident requiring further assistance, the relevant emergency services will be contacted via mobile phone.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Emergency contact details, directions and the national grid reference/What 3 Words for emergency services will be on the lanyard worn by the FS Leader and on the FS equipment bag.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In case of an accident/emergency, in accordance with forest school procedure, an incident/accident form must be completed and risk assessments updated where relevant.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Parents/carers to sign a consent form for treatment in case of an accident/emergency and to make Forest School leaders aware of any medical needs and/or issues prior to the first attending session.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All participants' medical details will be checked prior to session with any personal necessary medication taken to the site. This medication will be the responsibility of the tutor/s and /or student where appropriate. Forest School leaders will be made aware of any necessary arrangements needed around this.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color w:val="111111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111111"/>
          <w:sz w:val="24"/>
          <w:szCs w:val="24"/>
          <w:highlight w:val="white"/>
          <w:rtl w:val="0"/>
        </w:rPr>
        <w:t xml:space="preserve">If Forest School leader/s are in need of first aid, participants will be immediately asked to stop what they are doing and sit in a safe space whilst the incident is dealt with by another member of staff.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